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1f4e79"/>
          <w:sz w:val="20"/>
          <w:szCs w:val="20"/>
          <w:rtl w:val="0"/>
        </w:rPr>
        <w:t xml:space="preserve">En _____________ a _____________de ____________de 202___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Yo 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u w:val="singl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  <w:rtl w:val="0"/>
        </w:rPr>
        <w:t xml:space="preserve">Nombre y Apellidos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u w:val="single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con DNI 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  <w:rtl w:val="0"/>
        </w:rPr>
        <w:t xml:space="preserve">dni 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por la presente, me dirijo a ustedes para solicitar la adaptación de la jornada laboral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que a continuación expongo para poder conciliar según recoge</w:t>
        <w:br w:type="textWrapping"/>
        <w:t xml:space="preserve"> el artículo 34.8 del Estatuto de los Trabajadores.  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20"/>
          <w:szCs w:val="20"/>
          <w:rtl w:val="0"/>
        </w:rPr>
        <w:t xml:space="preserve">[Explicación de la adaptación que se solicita]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              </w:t>
        <w:tab/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El artículo 34.8 del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f4e79"/>
            <w:sz w:val="20"/>
            <w:szCs w:val="20"/>
            <w:rtl w:val="0"/>
          </w:rPr>
          <w:t xml:space="preserve">Estatuto de los Trabajadores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establece en su apartado octavo: «las personas trabajadoras tienen derecho a solicitar las adaptaciones de la duración y distribución de la jornada de trabajo, en la ordenación del tiempo de trabajo y en la forma de prestación, incluida la prestación de su trabajo a distancia, para hacer efectivo su derecho a la conciliación de la vida familiar y laboral».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Adjunto a esta solicitud el informe correspondiente donde se indica la necesidad de la adaptación de la jornada.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f4e7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Sin otro particular, quedo a la espera de su respuesta.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color w:val="1f4e79"/>
          <w:sz w:val="20"/>
          <w:szCs w:val="20"/>
        </w:rPr>
      </w:pPr>
      <w:r w:rsidDel="00000000" w:rsidR="00000000" w:rsidRPr="00000000">
        <w:rPr>
          <w:color w:val="1f4e79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  <w:rtl w:val="0"/>
        </w:rPr>
        <w:t xml:space="preserve">Firma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4e79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e79"/>
          <w:sz w:val="20"/>
          <w:szCs w:val="20"/>
          <w:u w:val="single"/>
          <w:rtl w:val="0"/>
        </w:rPr>
        <w:t xml:space="preserve">Nombre del trabajador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2AB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272ABC"/>
    <w:rPr>
      <w:color w:val="0000ff"/>
      <w:u w:val="single"/>
    </w:rPr>
  </w:style>
  <w:style w:type="character" w:styleId="xxxcontentpasted0" w:customStyle="1">
    <w:name w:val="x_x_x_contentpasted0"/>
    <w:basedOn w:val="Fuentedeprrafopredeter"/>
    <w:rsid w:val="00272ABC"/>
  </w:style>
  <w:style w:type="character" w:styleId="xxxxxapple-converted-space" w:customStyle="1">
    <w:name w:val="x_x_x_x_xapple-converted-space"/>
    <w:basedOn w:val="Fuentedeprrafopredeter"/>
    <w:rsid w:val="00272ABC"/>
  </w:style>
  <w:style w:type="paragraph" w:styleId="NormalWeb">
    <w:name w:val="Normal (Web)"/>
    <w:basedOn w:val="Normal"/>
    <w:uiPriority w:val="99"/>
    <w:semiHidden w:val="1"/>
    <w:unhideWhenUsed w:val="1"/>
    <w:rsid w:val="00272A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 w:val="1"/>
    <w:rsid w:val="00272AB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ur04.safelinks.protection.outlook.com/?url=https%3A%2F%2Fwww.iberley.es%2Flegislacion%2Freal-decreto-legislativo-2-2015-23-octubre-aprueba-texto-refundido-ley-estatuto-trabajadores-23860101&amp;data=05%7C02%7Cytello%40minsait.com%7Cf80572c549644d66bcbd08dd3487e738%7C7808e00514894374954bd3b08f193920%7C0%7C0%7C638724480479906872%7CUnknown%7CTWFpbGZsb3d8eyJFbXB0eU1hcGkiOnRydWUsIlYiOiIwLjAuMDAwMCIsIlAiOiJXaW4zMiIsIkFOIjoiTWFpbCIsIldUIjoyfQ%3D%3D%7C0%7C%7C%7C&amp;sdata=vQjcLpyClyOAzlMlexBmDQc2b4EOOWyBypgldpOjGaI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0u/h7JPdVkjYE9hRPLWi8Pofg==">CgMxLjA4AHIhMWs1RGdmZFI0aWMxQ1lWZVk1UkxwSUxscmFKaGg5VVU3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2025-01-17T11:16:00Z</dcterms:created>
  <dc:creator>Tello De Mingo, Yolanda</dc:creator>
</cp:coreProperties>
</file>